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4"/>
              <w:left w:val="single" w:color="F59E0B" w:sz="18"/>
              <w:bottom w:val="single" w:color="E2E8F0" w:sz="4"/>
              <w:right w:val="single" w:color="E2E8F0" w:sz="4"/>
            </w:tcBorders>
            <w:shd w:fill="EFF4F8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after="30"/>
            </w:pPr>
            <w:r>
              <w:rPr>
                <w:rFonts w:ascii="Manrope" w:cs="Manrope" w:eastAsia="Manrope" w:hAnsi="Manrope"/>
                <w:b/>
                <w:bCs/>
                <w:i w:val="false"/>
                <w:iCs w:val="false"/>
                <w:color w:val="0F172A"/>
                <w:sz w:val="18"/>
                <w:szCs w:val="18"/>
              </w:rPr>
              <w:t xml:space="preserve">Le syndic</w:t>
            </w:r>
          </w:p>
          <w:p>
            <w:pPr>
              <w:spacing w:after="20"/>
            </w:pP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[Raison sociale du syndic]</w:t>
            </w:r>
          </w:p>
          <w:p>
            <w:pPr>
              <w:spacing w:after="20"/>
            </w:pPr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Carte professionnelle (loi Hoguet) n° </w:t>
            </w: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[numéro]</w:t>
            </w:r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 – délivrée par </w:t>
            </w: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[CCI]</w:t>
            </w:r>
          </w:p>
          <w:p>
            <w:pPr>
              <w:spacing w:after="20"/>
            </w:pP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[Adresse complète]</w:t>
            </w:r>
          </w:p>
          <w:p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Tél. </w:t>
            </w: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[téléphone]</w:t>
            </w:r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  –  </w:t>
            </w: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[email]</w:t>
            </w:r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  –  </w:t>
            </w: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[site web]</w:t>
            </w:r>
          </w:p>
        </w:tc>
      </w:tr>
    </w:tbl>
    <w:p>
      <w:pPr>
        <w:spacing w:after="120"/>
      </w:pPr>
    </w:p>
    <w:p>
      <w:pPr>
        <w:spacing w:after="40" w:before="60"/>
        <w:jc w:val="center"/>
      </w:pPr>
      <w:r>
        <w:rPr>
          <w:rFonts w:ascii="Space Grotesk" w:cs="Space Grotesk" w:eastAsia="Space Grotesk" w:hAnsi="Space Grotesk"/>
          <w:b/>
          <w:bCs/>
          <w:color w:val="0F172A"/>
          <w:sz w:val="30"/>
          <w:szCs w:val="30"/>
        </w:rPr>
        <w:t xml:space="preserve">CONVOCATION À L’ASSEMBLÉE GÉNÉRALE </w:t>
      </w:r>
      <w:r>
        <w:rPr>
          <w:rFonts w:ascii="Space Grotesk" w:cs="Space Grotesk" w:eastAsia="Space Grotesk" w:hAnsi="Space Grotesk"/>
          <w:b/>
          <w:bCs/>
          <w:color w:val="275787"/>
          <w:sz w:val="30"/>
          <w:szCs w:val="30"/>
        </w:rPr>
        <w:t xml:space="preserve">[ORDINAIRE / EXTRAORDINAIRE]</w:t>
      </w:r>
    </w:p>
    <w:p>
      <w:pPr>
        <w:pBdr>
          <w:bottom w:val="single" w:color="F59E0B" w:sz="8" w:space="6"/>
        </w:pBdr>
        <w:spacing w:after="200"/>
        <w:jc w:val="center"/>
      </w:pPr>
      <w:r>
        <w:rPr>
          <w:rFonts w:ascii="Manrope" w:cs="Manrope" w:eastAsia="Manrope" w:hAnsi="Manrope"/>
          <w:b w:val="false"/>
          <w:bCs w:val="false"/>
          <w:i/>
          <w:iCs/>
          <w:color w:val="64748B"/>
          <w:sz w:val="18"/>
          <w:szCs w:val="18"/>
        </w:rPr>
        <w:t xml:space="preserve">des copropriétaires</w:t>
      </w:r>
    </w:p>
    <w:p>
      <w:pPr>
        <w:spacing w:after="40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Copropriété :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[Nom et adresse de la copropriété]</w:t>
      </w:r>
    </w:p>
    <w:p>
      <w:pPr>
        <w:spacing w:after="160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N° d’immatriculation au registre national des copropriétés :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[numéro d’immatriculation]</w:t>
      </w:r>
    </w:p>
    <w:p>
      <w:pPr>
        <w:spacing w:after="10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Madame, Monsieur,</w:t>
      </w:r>
    </w:p>
    <w:p>
      <w:pPr>
        <w:spacing w:after="6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Vous êtes convoqué(e) à l’assemblée générale des copropriétaires qui se tiendra le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[date]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 à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[heure]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, à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[lieu]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.</w:t>
      </w:r>
      <w:r>
        <w:rPr>
          <w:rStyle w:val="FootnoteReference"/>
        </w:rPr>
        <w:footnoteReference w:id="1"/>
      </w:r>
    </w:p>
    <w:p>
      <w:pPr>
        <w:spacing w:after="16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L’ordre du jour, les modalités de participation et les annexes figurent ci-après. Nous vous remercions de votre présence ou, à défaut, de votre représentation ou de votre vote par correspondance.</w:t>
      </w:r>
    </w:p>
    <w:p>
      <w:pPr>
        <w:pStyle w:val="Heading2"/>
      </w:pPr>
      <w:r>
        <w:rPr>
          <w:rFonts w:ascii="Space Grotesk" w:cs="Space Grotesk" w:eastAsia="Space Grotesk" w:hAnsi="Space Grotesk"/>
          <w:b/>
          <w:bCs/>
          <w:color w:val="275787"/>
          <w:sz w:val="22"/>
          <w:szCs w:val="22"/>
        </w:rPr>
        <w:t xml:space="preserve">Ordre du jour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"/>
        <w:gridCol w:w="6606"/>
        <w:gridCol w:w="1800"/>
      </w:tblGrid>
      <w:tr>
        <w:trPr>
          <w:tblHeader/>
        </w:trP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275787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275787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FFFFF"/>
                <w:sz w:val="18"/>
                <w:szCs w:val="18"/>
              </w:rPr>
              <w:t xml:space="preserve">Question soumise à l’assemblée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275787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FFFFF"/>
                <w:sz w:val="18"/>
                <w:szCs w:val="18"/>
              </w:rPr>
              <w:t xml:space="preserve">Majorité requise</w:t>
            </w:r>
          </w:p>
        </w:tc>
      </w:tr>
      <w:t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80"/>
            </w:tcMar>
            <w:vAlign w:val="center"/>
          </w:tcPr>
          <w:p>
            <w:r>
              <w:rPr>
                <w:rFonts w:ascii="Space Grotesk" w:cs="Space Grotesk" w:eastAsia="Space Grotesk" w:hAnsi="Space Grotesk"/>
                <w:b/>
                <w:bCs/>
                <w:color w:val="275787"/>
                <w:sz w:val="20"/>
                <w:szCs w:val="20"/>
              </w:rPr>
              <w:t xml:space="preserve">1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Désignation du président de séance, du ou des scrutateur(s) et du secrétaire de séance.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59E0B"/>
                <w:sz w:val="18"/>
                <w:szCs w:val="18"/>
              </w:rPr>
              <w:t xml:space="preserve">Art. 24</w:t>
            </w:r>
          </w:p>
        </w:tc>
      </w:tr>
      <w:t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80"/>
            </w:tcMar>
            <w:vAlign w:val="center"/>
          </w:tcPr>
          <w:p>
            <w:r>
              <w:rPr>
                <w:rFonts w:ascii="Space Grotesk" w:cs="Space Grotesk" w:eastAsia="Space Grotesk" w:hAnsi="Space Grotesk"/>
                <w:b/>
                <w:bCs/>
                <w:color w:val="275787"/>
                <w:sz w:val="20"/>
                <w:szCs w:val="20"/>
              </w:rPr>
              <w:t xml:space="preserve">2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Approbation des comptes de l’exercice clos le </w:t>
            </w: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[date]</w:t>
            </w:r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.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59E0B"/>
                <w:sz w:val="18"/>
                <w:szCs w:val="18"/>
              </w:rPr>
              <w:t xml:space="preserve">Art. 24</w:t>
            </w:r>
          </w:p>
        </w:tc>
      </w:tr>
      <w:t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80"/>
            </w:tcMar>
            <w:vAlign w:val="center"/>
          </w:tcPr>
          <w:p>
            <w:r>
              <w:rPr>
                <w:rFonts w:ascii="Space Grotesk" w:cs="Space Grotesk" w:eastAsia="Space Grotesk" w:hAnsi="Space Grotesk"/>
                <w:b/>
                <w:bCs/>
                <w:color w:val="275787"/>
                <w:sz w:val="20"/>
                <w:szCs w:val="20"/>
              </w:rPr>
              <w:t xml:space="preserve">3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Quitus au syndic pour sa gestion.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59E0B"/>
                <w:sz w:val="18"/>
                <w:szCs w:val="18"/>
              </w:rPr>
              <w:t xml:space="preserve">Art. 24</w:t>
            </w:r>
          </w:p>
        </w:tc>
      </w:tr>
      <w:t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80"/>
            </w:tcMar>
            <w:vAlign w:val="center"/>
          </w:tcPr>
          <w:p>
            <w:r>
              <w:rPr>
                <w:rFonts w:ascii="Space Grotesk" w:cs="Space Grotesk" w:eastAsia="Space Grotesk" w:hAnsi="Space Grotesk"/>
                <w:b/>
                <w:bCs/>
                <w:color w:val="275787"/>
                <w:sz w:val="20"/>
                <w:szCs w:val="20"/>
              </w:rPr>
              <w:t xml:space="preserve">4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Vote du budget prévisionnel </w:t>
            </w:r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[année]</w:t>
            </w:r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.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59E0B"/>
                <w:sz w:val="18"/>
                <w:szCs w:val="18"/>
              </w:rPr>
              <w:t xml:space="preserve">Art. 24</w:t>
            </w:r>
          </w:p>
        </w:tc>
      </w:tr>
      <w:t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80"/>
            </w:tcMar>
            <w:vAlign w:val="center"/>
          </w:tcPr>
          <w:p>
            <w:r>
              <w:rPr>
                <w:rFonts w:ascii="Space Grotesk" w:cs="Space Grotesk" w:eastAsia="Space Grotesk" w:hAnsi="Space Grotesk"/>
                <w:b/>
                <w:bCs/>
                <w:color w:val="275787"/>
                <w:sz w:val="20"/>
                <w:szCs w:val="20"/>
              </w:rPr>
              <w:t xml:space="preserve">5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275787"/>
                <w:sz w:val="20"/>
                <w:szCs w:val="20"/>
              </w:rPr>
              <w:t xml:space="preserve">[Travaux / contrat / objet précis de la question]</w:t>
            </w:r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.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59E0B"/>
                <w:sz w:val="18"/>
                <w:szCs w:val="18"/>
              </w:rPr>
              <w:t xml:space="preserve">Art. [25 / 26]</w:t>
            </w:r>
          </w:p>
        </w:tc>
      </w:tr>
      <w:t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80"/>
            </w:tcMar>
            <w:vAlign w:val="center"/>
          </w:tcPr>
          <w:p>
            <w:r>
              <w:rPr>
                <w:rFonts w:ascii="Space Grotesk" w:cs="Space Grotesk" w:eastAsia="Space Grotesk" w:hAnsi="Space Grotesk"/>
                <w:b/>
                <w:bCs/>
                <w:color w:val="275787"/>
                <w:sz w:val="20"/>
                <w:szCs w:val="20"/>
              </w:rPr>
              <w:t xml:space="preserve">6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Cotisation au fonds de travaux.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EFF4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59E0B"/>
                <w:sz w:val="18"/>
                <w:szCs w:val="18"/>
              </w:rPr>
              <w:t xml:space="preserve">Art. 24</w:t>
            </w:r>
          </w:p>
        </w:tc>
      </w:tr>
      <w:tr>
        <w:tc>
          <w:tcPr>
            <w:tcW w:type="dxa" w:w="6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80"/>
            </w:tcMar>
            <w:vAlign w:val="center"/>
          </w:tcPr>
          <w:p>
            <w:r>
              <w:rPr>
                <w:rFonts w:ascii="Space Grotesk" w:cs="Space Grotesk" w:eastAsia="Space Grotesk" w:hAnsi="Space Grotesk"/>
                <w:b/>
                <w:bCs/>
                <w:color w:val="275787"/>
                <w:sz w:val="20"/>
                <w:szCs w:val="20"/>
              </w:rPr>
              <w:t xml:space="preserve">7</w:t>
            </w:r>
          </w:p>
        </w:tc>
        <w:tc>
          <w:tcPr>
            <w:tcW w:type="dxa" w:w="6606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>Questions diverses </w:t>
            </w:r>
            <w:r>
              <w:rPr>
                <w:rFonts w:ascii="Manrope" w:cs="Manrope" w:eastAsia="Manrope" w:hAnsi="Manrope"/>
                <w:b w:val="false"/>
                <w:bCs w:val="false"/>
                <w:i/>
                <w:iCs/>
                <w:color w:val="64748B"/>
                <w:sz w:val="18"/>
                <w:szCs w:val="18"/>
              </w:rPr>
              <w:t xml:space="preserve">(sans vote décisionnel).</w:t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F59E0B"/>
                <w:sz w:val="18"/>
                <w:szCs w:val="18"/>
              </w:rPr>
              <w:t xml:space="preserve">–</w:t>
            </w:r>
          </w:p>
        </w:tc>
      </w:tr>
    </w:tbl>
    <w:p>
      <w:pPr>
        <w:spacing w:after="160" w:before="80"/>
      </w:pPr>
      <w:r>
        <w:rPr>
          <w:rFonts w:ascii="Manrope" w:cs="Manrope" w:eastAsia="Manrope" w:hAnsi="Manrope"/>
          <w:b w:val="false"/>
          <w:bCs w:val="false"/>
          <w:i/>
          <w:iCs/>
          <w:color w:val="64748B"/>
          <w:sz w:val="17"/>
          <w:szCs w:val="17"/>
        </w:rPr>
        <w:t xml:space="preserve">Le détail de chaque question, les devis et projets de contrat correspondants figurent en annexe.</w:t>
      </w:r>
    </w:p>
    <w:p>
      <w:pPr>
        <w:pStyle w:val="Heading2"/>
      </w:pPr>
      <w:r>
        <w:rPr>
          <w:rFonts w:ascii="Space Grotesk" w:cs="Space Grotesk" w:eastAsia="Space Grotesk" w:hAnsi="Space Grotesk"/>
          <w:b/>
          <w:bCs/>
          <w:color w:val="275787"/>
          <w:sz w:val="22"/>
          <w:szCs w:val="22"/>
        </w:rPr>
        <w:t xml:space="preserve">Modalités de participation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Présence : 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vous pouvez assister personnellement à l’assemblée ; une feuille de présence sera émargée à l’ouverture de la séance.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Pouvoir (mandat) : 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vous pouvez vous faire représenter au moyen du formulaire de pouvoir joint, en désignant un mandataire de votre choix.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Vote par correspondance : 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vous pouvez voter par anticipation à l’aide du formulaire de vote par correspondance joint à la présente convocation.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Visioconférence (le cas échéant) : 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si l’assemblée l’a prévu, la participation à distance est possible selon les modalités indiquées ci-après :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[lien / modalités de connexion]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Consultation des pièces : 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les justificatifs de charges et pièces comptables peuvent être consultés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[lieu / dates / horaires / modalités]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.</w:t>
      </w:r>
    </w:p>
    <w:p>
      <w:pPr>
        <w:pStyle w:val="Heading2"/>
      </w:pPr>
      <w:r>
        <w:rPr>
          <w:rFonts w:ascii="Space Grotesk" w:cs="Space Grotesk" w:eastAsia="Space Grotesk" w:hAnsi="Space Grotesk"/>
          <w:b/>
          <w:bCs/>
          <w:color w:val="275787"/>
          <w:sz w:val="22"/>
          <w:szCs w:val="22"/>
        </w:rPr>
        <w:t xml:space="preserve">Annexes jointes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État financier de la copropriété.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Compte de gestion général de l’exercice.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Budget prévisionnel.</w:t>
      </w:r>
    </w:p>
    <w:p>
      <w:pPr>
        <w:pStyle w:val="ListParagraph"/>
        <w:numPr>
          <w:ilvl w:val="0"/>
          <w:numId w:val="3"/>
        </w:numPr>
        <w:spacing w:after="3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Devis et/ou projets de contrat se rapportant aux questions inscrites à l’ordre du jour.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Formulaire de vote par correspondance et formulaire de pouvoir.</w:t>
      </w:r>
    </w:p>
    <w:p>
      <w:pPr>
        <w:spacing w:after="30" w:before="120"/>
        <w:jc w:val="right"/>
      </w:pP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Fait à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[lieu]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, le </w:t>
      </w: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[date]</w:t>
      </w:r>
      <w:r>
        <w:rPr>
          <w:rFonts w:ascii="Manrope" w:cs="Manrope" w:eastAsia="Manrope" w:hAnsi="Manrope"/>
          <w:b w:val="false"/>
          <w:bCs w:val="false"/>
          <w:i w:val="false"/>
          <w:iCs w:val="false"/>
          <w:color w:val="334155"/>
          <w:sz w:val="20"/>
          <w:szCs w:val="20"/>
        </w:rPr>
        <w:t xml:space="preserve">.</w:t>
      </w:r>
    </w:p>
    <w:p>
      <w:pPr>
        <w:spacing w:after="20"/>
        <w:jc w:val="right"/>
      </w:pPr>
      <w:r>
        <w:rPr>
          <w:rFonts w:ascii="Manrope" w:cs="Manrope" w:eastAsia="Manrope" w:hAnsi="Manrope"/>
          <w:b/>
          <w:bCs/>
          <w:i w:val="false"/>
          <w:iCs w:val="false"/>
          <w:color w:val="0F172A"/>
          <w:sz w:val="20"/>
          <w:szCs w:val="20"/>
        </w:rPr>
        <w:t xml:space="preserve">Le syndic</w:t>
      </w:r>
    </w:p>
    <w:p>
      <w:pPr>
        <w:jc w:val="right"/>
      </w:pPr>
      <w:r>
        <w:rPr>
          <w:rFonts w:ascii="Manrope" w:cs="Manrope" w:eastAsia="Manrope" w:hAnsi="Manrope"/>
          <w:b/>
          <w:bCs/>
          <w:color w:val="275787"/>
          <w:sz w:val="20"/>
          <w:szCs w:val="20"/>
        </w:rPr>
        <w:t xml:space="preserve">[Signature / cachet]</w:t>
      </w:r>
    </w:p>
    <w:sectPr>
      <w:headerReference w:type="default" r:id="rId7"/>
      <w:footerReference w:type="default" r:id="rId8"/>
      <w:pgSz w:w="11906" w:h="16838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4"/>
      </w:pBdr>
      <w:spacing w:after="20" w:before="40"/>
    </w:pPr>
  </w:p>
  <w:p>
    <w:pPr>
      <w:tabs>
        <w:tab w:val="right" w:pos="9026"/>
      </w:tabs>
    </w:pPr>
    <w:r>
      <w:rPr>
        <w:rFonts w:ascii="Manrope" w:cs="Manrope" w:eastAsia="Manrope" w:hAnsi="Manrope"/>
        <w:b/>
        <w:bCs/>
        <w:color w:val="275787"/>
        <w:sz w:val="15"/>
        <w:szCs w:val="15"/>
      </w:rPr>
      <w:t xml:space="preserve">expert-copro-gestion.fr</w:t>
    </w:r>
    <w:r>
      <w:rPr>
        <w:rFonts w:ascii="Manrope" w:cs="Manrope" w:eastAsia="Manrope" w:hAnsi="Manrope"/>
        <w:color w:val="64748B"/>
        <w:sz w:val="15"/>
        <w:szCs w:val="15"/>
      </w:rPr>
      <w:t xml:space="preserve">  —  Le complément de votre logiciel-métier</w:t>
    </w:r>
    <w:r>
      <w:rPr>
        <w:rFonts w:ascii="Manrope" w:cs="Manrope" w:eastAsia="Manrope" w:hAnsi="Manrope"/>
        <w:color w:val="94A3B8"/>
        <w:sz w:val="15"/>
        <w:szCs w:val="15"/>
      </w:rPr>
      <w:t xml:space="preserve">	Modèle à compléter – Édition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r>
        <w:rPr>
          <w:rStyle w:val="FootnoteReference"/>
        </w:rPr>
        <w:footnoteRef/>
      </w:r>
      <w:r>
        <w:rPr>
          <w:rFonts w:ascii="Manrope" w:cs="Manrope" w:eastAsia="Manrope" w:hAnsi="Manrope"/>
          <w:color w:val="334155"/>
          <w:sz w:val="16"/>
          <w:szCs w:val="16"/>
        </w:rPr>
        <w:t xml:space="preserve">Délai légal : la convocation doit parvenir à chaque copropriétaire au moins 21 jours calendaires avant la date de l’assemblée (art. 9 du décret n°67-223). Délai d’ordre public – son non-respect peut entraîner la nullité de l’assemblée.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/>
        <w:left w:val="none"/>
        <w:bottom w:val="single" w:color="275787" w:sz="12"/>
        <w:right w:val="none"/>
        <w:insideH w:val="none"/>
        <w:insideV w:val="none"/>
      </w:tblBorders>
    </w:tblPr>
    <w:tblGrid>
      <w:gridCol w:w="820"/>
      <w:gridCol w:w="8206"/>
    </w:tblGrid>
    <w:tr>
      <w:tc>
        <w:tcPr>
          <w:tcW w:type="dxa" w:w="820"/>
          <w:tcBorders>
            <w:top w:val="none"/>
            <w:left w:val="none"/>
            <w:bottom w:val="single" w:color="275787" w:sz="12"/>
            <w:right w:val="none"/>
          </w:tcBorders>
          <w:tcMar>
            <w:top w:type="dxa" w:w="40"/>
            <w:left w:type="dxa" w:w="0"/>
            <w:bottom w:type="dxa" w:w="100"/>
            <w:right w:type="dxa" w:w="80"/>
          </w:tcMar>
          <w:vAlign w:val="center"/>
        </w:tcPr>
        <w:p>
          <w:r>
            <w:drawing>
              <wp:inline distT="0" distB="0" distL="0" distR="0">
                <wp:extent cx="400050" cy="400050"/>
                <wp:effectExtent t="0" r="0" b="0" l="0"/>
                <wp:docPr id="1" name="logo" descr="Expert Copro Gestion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8206"/>
          <w:tcBorders>
            <w:top w:val="none"/>
            <w:left w:val="none"/>
            <w:bottom w:val="single" w:color="275787" w:sz="12"/>
            <w:right w:val="none"/>
          </w:tcBorders>
          <w:tcMar>
            <w:top w:type="dxa" w:w="40"/>
            <w:left w:type="dxa" w:w="80"/>
            <w:bottom w:type="dxa" w:w="100"/>
            <w:right w:type="dxa" w:w="0"/>
          </w:tcMar>
          <w:vAlign w:val="center"/>
        </w:tcPr>
        <w:p>
          <w:pPr>
            <w:spacing w:after="0"/>
          </w:pPr>
          <w:r>
            <w:rPr>
              <w:rFonts w:ascii="Space Grotesk" w:cs="Space Grotesk" w:eastAsia="Space Grotesk" w:hAnsi="Space Grotesk"/>
              <w:b/>
              <w:bCs/>
              <w:color w:val="0F172A"/>
              <w:sz w:val="26"/>
              <w:szCs w:val="26"/>
            </w:rPr>
            <w:t xml:space="preserve">Expert Copro Gestion</w:t>
          </w:r>
        </w:p>
        <w:p>
          <w:r>
            <w:rPr>
              <w:rFonts w:ascii="Manrope" w:cs="Manrope" w:eastAsia="Manrope" w:hAnsi="Manrope"/>
              <w:color w:val="64748B"/>
              <w:sz w:val="16"/>
              <w:szCs w:val="16"/>
            </w:rPr>
            <w:t xml:space="preserve">Le complément de votre logiciel-métier</w:t>
          </w:r>
        </w:p>
      </w:tc>
    </w:tr>
  </w:tbl>
  <w:p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60" w:hanging="230"/>
      </w:pPr>
      <w:rPr>
        <w:color w:val="275787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60" w:hanging="230"/>
      </w:pPr>
      <w:rPr>
        <w:color w:val="275787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nrope" w:cs="Manrope" w:eastAsia="Manrope" w:hAnsi="Manrope"/>
        <w:color w:val="33415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Space Grotesk" w:cs="Space Grotesk" w:eastAsia="Space Grotesk" w:hAnsi="Space Grotesk"/>
      <w:b/>
      <w:bCs/>
      <w:color w:val="0F172A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F59E0B" w:sz="6" w:space="2"/>
      </w:pBdr>
      <w:spacing w:after="90" w:before="200"/>
      <w:outlineLvl w:val="1"/>
    </w:pPr>
    <w:rPr>
      <w:rFonts w:ascii="Space Grotesk" w:cs="Space Grotesk" w:eastAsia="Space Grotesk" w:hAnsi="Space Grotesk"/>
      <w:b/>
      <w:bCs/>
      <w:color w:val="27578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2ee407ccdf7b027ef1874ae6c2181d171527de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convocation à l’assemblée générale 2026</dc:title>
  <dc:creator>Expert Copro Gestion</dc:creator>
  <cp:lastModifiedBy>Un-named</cp:lastModifiedBy>
  <cp:revision>1</cp:revision>
  <dcterms:created xsi:type="dcterms:W3CDTF">2026-06-19T09:39:08.054Z</dcterms:created>
  <dcterms:modified xsi:type="dcterms:W3CDTF">2026-06-19T09:39:08.059Z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